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201</w:t>
      </w:r>
    </w:p>
    <w:p>
      <w:r>
        <w:t>Bundesgericht (BGE), 2022-03-09, DE</w:t>
      </w:r>
    </w:p>
    <w:p>
      <w:r>
        <w:rPr>
          <w:b/>
        </w:rPr>
        <w:t xml:space="preserve">Quelle: </w:t>
      </w:r>
      <w:r>
        <w:t>https://mcp.opencaselaw.ch/entscheid/bge_148 III 201</w:t>
      </w:r>
    </w:p>
    <w:p>
      <w:r>
        <w:t>FR: ATF 148 III 201</w:t>
      </w:r>
    </w:p>
    <w:p>
      <w:r>
        <w:t>IT: DTF 148 III 201</w:t>
      </w:r>
    </w:p>
    <w:p>
      <w:pPr>
        <w:pStyle w:val="Heading2"/>
      </w:pPr>
      <w:r>
        <w:t>Regeste</w:t>
      </w:r>
    </w:p>
    <w:p>
      <w:r>
        <w:t>Regeste Art. 36 Abs. 2 VAG; Art. 92 Abs. 2 in Verbindung mit Art. 94 VVG; Informationsansprüche der Versicherungsnehmer im Zusammenhang mit Überschussanteilen bei einer Lebensversicherung der Säule 3a. Die Versicherungsunternehmen sind verpflichtet, den Versicherungsnehmern jährlich eine nachvollziehbare Abrechnung über die Überschussbeteiligung abzugeben (E. 3.3), müssen ihnen aber den Überschussplan oder die detaillierten Jahresrechnungen nicht offenlegen (E. 5.3). Der Versicherungsnehmer kann von der FINMA verlangen, dass sie unentgeltlich prüft, ob die vom Versicherungsunternehmen ermittelten Überschusswerte den versicherungsmathematischen Grundlagen entsprechen und mit dem Überschussplan übereinstimmen (E. 5.4).</w:t>
      </w:r>
    </w:p>
    <w:p>
      <w:pPr>
        <w:pStyle w:val="Heading2"/>
      </w:pPr>
      <w:r>
        <w:t>Erwägungen</w:t>
      </w:r>
    </w:p>
    <w:p>
      <w:r>
        <w:rPr>
          <w:b/>
        </w:rPr>
        <w:t>E. 2.1</w:t>
      </w:r>
    </w:p>
    <w:p>
      <w:r>
        <w:t>In der Beschwerde wird lediglich die Aufhebung des angefochtenen Entscheides und die Rückweisung der Sache zu neuem Entscheid an das kantonale Gericht beantragt. Begründet wird dieses Begehren damit, dass dem Beschwerdeführer mit der vorinstanzlichen Ablehnung seines Antrages auf Edition der beschwerdegegnerischen Jahresrechnungen 1996 bis 2019 das Recht verweigert werde, die Höhe des Überschusses aufgrund der konkreten Zahlen zu prüfen und gestützt darauf seine Ansprüche zu beziffern. Dies verletze das Willkürverbot, das rechtliche Gehör sowie Art. 1 ff. und 18 OR .</w:t>
      </w:r>
    </w:p>
    <w:p>
      <w:r>
        <w:rPr>
          <w:b/>
        </w:rPr>
        <w:t>E. 2.2</w:t>
      </w:r>
    </w:p>
    <w:p>
      <w:r>
        <w:t>Streitig und zu prüfen ist damit, ob die Vorinstanz Bundesrecht verletzte, indem sie dem in der Klage gestellten Editionsbegehren betreffend die beschwerdegegnerischen Jahresrechnungen 1996 bis 2019 nicht stattgab.</w:t>
      </w:r>
    </w:p>
    <w:p>
      <w:r>
        <w:rPr>
          <w:b/>
        </w:rPr>
        <w:t>E. 3.1</w:t>
      </w:r>
    </w:p>
    <w:p>
      <w:r>
        <w:t>Kapitalbildende Lebensversicherungsverträge haben typischerweise eine lange Vertragsdauer, wobei sowohl die Versicherungsleistungen als auch die Höhe der Prämien bereits bei Vertragsschluss festgelegt werden. Werden die Prämien vorsorglich in der Weise ausgestaltet, dass sie den tatsächlichen Risiko- und BGE 148 III 201 S. 204 Kostenbedarf übersteigen und ergibt sich daraus ein Gewinn des Versicherungsunternehmens, soll der Versicherungsnehmer an diesem Gewinn beteiligt werden. Bei Vertragsschluss wird diesem daher neben der Todes- oder Erlebensfallleistung eine zusätzliche Leistung in Form der sogenannten Überschussbeteiligung zugesichert. Die Höhe der Überschussbeteiligung kann im Zeitpunkt des Vertragsschlusses zwar nicht exakt beziffert werden, jedoch wird dem Versicherungsnehmer anhand von Modellrechnungen aufgezeigt, wie sich die Werte ausgehend von realistischen Einschätzungen grundsätzlich entwickeln könnten ( BGE 140 II 16 E. 2.2 mit Hinweis auf Art. 3 Abs. 1 lit. e und Art. 94 VVG [SR 221.229.1] sowie Botschaft vom 7. September 2011 zur Totalrevision des Versicherungsvertragsgesetzes, BBl 2011 7705 ff., 7798 f.; ANDREA PFLEIDERER, Die Überschussbeteiligung in der Lebensversicherung [nachfolgend: Überschussbeteiligung], 2006, S. 1 f. und 17 f.; SCHUDEL TRÜB, in: Basler Kommentar, Versicherungsaufsichtsgesetz, 2013, N. 86 zu Art. 36 VAG ).</w:t>
      </w:r>
    </w:p>
    <w:p>
      <w:r>
        <w:rPr>
          <w:b/>
        </w:rPr>
        <w:t>E. 3.2</w:t>
      </w:r>
    </w:p>
    <w:p>
      <w:r>
        <w:t>Bei Lebensversicherungen ausserhalb der beruflichen Vorsorge besteht keine gesetzliche Verpflichtung zur Beteiligung an den Überschüssen. Ein Überschussanspruch hängt somit von einer entsprechenden Zusage der Versicherungsgesellschaft ab ( BGE 140 II 16 E. 2.2; PFLEIDERER, Überschussbeteiligung, a.a.O., S. 55 und 59; KUHN/GEIGER-STEINER, in: Basler Kommentar, Versicherungsvertragsgesetz, 2012, N. 14 zu Art. 3 VVG ; SCHUDEL TRÜB, a.a.O., N. 86 f. zu Art. 36 VAG ). Zusätzlich ist erforderlich, dass überhaupt Überschüsse erwirtschaftet werden ( BGE 140 II 16 E. 2.2 mit Hinweis auf Urteil 2A.255/2002 vom 22. April 2003 E. 3.3). Dies ist der Fall, wenn die Erträge die Aufwendungen eines Versicherungsportefeuilles übersteigen, wobei die entsprechenden Überschüsse aus Zins-, Risiko- und Kostenüberschüssen entstehen können (FISCHER/GISLER/WIEDMER, Einzellebensversicherung, 2015, S. 128 f.; SCHUDEL TRÜB, a.a.O., N. 102 zu Art. 36 VAG ).</w:t>
      </w:r>
    </w:p>
    <w:p>
      <w:r>
        <w:rPr>
          <w:b/>
        </w:rPr>
        <w:t>E. 3.3</w:t>
      </w:r>
    </w:p>
    <w:p>
      <w:r>
        <w:t>Versicherungsunternehmen, welche die direkte Einzel- oder Kollektivlebensversicherung betreiben und Lebensversicherungsverträge mit Überschussbeteiligung erfüllen müssen, haben den Versicherungsnehmern jährlich eine nachvollziehbare Abrechnung über die Überschussbeteiligung abzugeben, aus welcher insbesondere hervorgehen muss, auf welchen Grundlagen die Überschüsse berechnet und nach welchen Grundsätzen sie verteilt wurden (Art. 36 Abs. 2 des Bundesgesetzes vom 17. Dezember 2004 betreffend die BGE 148 III 201 S. 205 Aufsicht über Versicherungsunternehmen [Versicherungsaufsichtsgesetz, VAG; SR 961.01; in Kraft seit 1. Januar 2006]; vgl. auch Botschaft vom 9. Mai 2003 zu einem Gesetz über die Aufsicht über Versicherungsunternehmen [Versicherungsaufsichtsgesetz, VAG] und zur Änderung des Bundesgesetzes über den Versicherungsvertrag, BBl 2002 3789 ff., 3825; SCHUDEL TRÜB, a.a.O., N. 119 zu Art. 36 VAG ; WEBER/BAISCH, Versicherungsaufsichtsrecht, 2. Aufl. 2017, S. 161). Für den Teil ausserhalb der beruflichen Vorsorge bilden die Versicherungsunternehmen einen Überschussfonds, welcher eine versicherungstechnische Bilanzposition zur Bereitstellung der den Versicherungsnehmern zustehenden Überschussanteile darstellt ( Art. 136 Abs. 1 der Verordnung vom 9. November 2005 über die Beaufsichtigung von privaten Versicherungsunternehmen [Aufsichtsverordnung, AVO; SR 961.011] ). Die Überschusszuteilung ist nach anerkannten versicherungsmathematischen Methoden und unter Vermeidung missbräuchlicher Ungleichbehandlungen vorzunehmen. Sobald die Überschussanteile den einzelnen Versicherungsnehmern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 Art. 137 Abs. 1 und 2 AVO ; WEBER/BAISCH, a.a.O., S. 161). (...)</w:t>
      </w:r>
    </w:p>
    <w:p>
      <w:r>
        <w:rPr>
          <w:b/>
        </w:rPr>
        <w:t>E. 5.1</w:t>
      </w:r>
    </w:p>
    <w:p>
      <w:r>
        <w:t>Es steht fest und wird nicht substanziiert bestritten, dass die Beschwerdegegnerin den Beschwerdeführer periodisch mit den bei den Akten liegenden Jahresberichten und Erläuterungen über die Überschussbeteiligung bzw. die entsprechende Abrechnung orientierte (vgl. dazu auch E. 3.3 hiervor). Ergänzend liess sie ihm mit Schreiben vom 20. August 2019 Darstellungen der Wertverläufe zukommen. Weiter ist nach den verbindlichen und nicht offensichtlich unrichtigen Feststellungen im angefochtenen Entscheid davon auszugehen, dass die Aufsichtsbehörde die vom Streit betroffenen Versicherungsverträge, insbesondere die Bestimmungen betreffend die Überschussbeteiligung und die Überschusspläne genehmigt bzw. nicht beanstandet hat.</w:t>
      </w:r>
    </w:p>
    <w:p>
      <w:r>
        <w:rPr>
          <w:b/>
        </w:rPr>
        <w:t>E. 5.2</w:t>
      </w:r>
    </w:p>
    <w:p>
      <w:r>
        <w:t>Der Beschwerdeführer hält seinen Auskunftsanspruch damit indessen nicht für erfüllt und verlangt von der Beschwerdegegnerin über die gewährten, in E. 5.1 genannten Informationen hinaus die BGE 148 III 201 S. 206 Herausgabe der Jahresabschlüsse 1996 bis 2019 einschliesslich Kontoblätter und Leistungsüberschussberechnungen bzw. die detaillierten Zahlen der Jahresrechnungen, um die konkrete Berechnung des Überschusses einzusehen. Er stellt sich auf den Standpunkt, dass er nur auf dieser Grundlage die Höhe der Überschussbeteiligung prüfen könne. Es gehe ihm nicht um die von der Vorinstanz allein thematisierte Einzahlung des Überschusses in den Überschussfonds, sondern um die dieser "vorgelagerte Berechnung der Höhe des Überschusses anhand der konkreten Jahresrechnung".</w:t>
      </w:r>
    </w:p>
    <w:p>
      <w:r>
        <w:rPr>
          <w:b/>
        </w:rPr>
        <w:t>E. 5.3</w:t>
      </w:r>
    </w:p>
    <w:p>
      <w:r>
        <w:t>Was die vom Beschwerdeführer geforderte Herausgabe der detaillierten Jahresrechnungen anbelangt, ist zu berücksichtigen, dass der Auskunftsanspruch des einzelnen Versicherungsnehmers durch das legitime Interesse des Versicherungsunternehmens am Schutz von Geschäftsgeheimnissen beschränkt wird (vgl. SCHUDEL TRÜB, a.a.O., N. 110 und 119 zu Art. 36 VAG ). Der Anspruch beinhaltet namentlich kein Recht auf Offenlegung des Überschussplanes, weil einem solchen legitime Geheimhaltungsinteressen der Versicherungsgesellschaft gegenüberstehen (PFLEIDERER, Überschussbeteiligung, a.a.O., S. 38). Ebenso wenig erstreckt er sich auf die detaillierten Jahresrechnungen, bei welchen es sich um noch vertraulichere Informationen handelt (zur Zurückhaltung betreffend die Informationsansprüche der Versicherungsnehmer: ANTON K. SCHNYDER, "Totalrevision" des VVG, in: Versicherungsvertragsgesetz: Rückblick und Zukunftsperspektiven, Anton K. Schnyder [Hrsg.], 2015, S. 29). Die Kontrolle der Überschusspolitik der Versicherungsunternehmen wird anderweitig gewährleistet (vgl. auch STEPHAN FUHRER, Schweizerisches Privatversicherungsrecht, 2011, Rz. 22.39 mit Hinweis auf Art. 36 VAG , Art. 130 und 136 ff. AVO sowie das inzwischen aufgehobene Rundschreiben 2008/40 der Finanzmarktaufsicht [FINMA]). Neben den in E. 3.3 erwähnten Pflichten haben die Versicherungsunternehmen im Rahmen des jährlichen Aufsichtsberichts ( Art. 25 Abs. 2 VAG ; vgl. dazu ROLF BÄCHLER, in: Basler Kommentar, Versicherungsaufsichtsgesetz, 2013, N. 4 ff. zu Art. 25 VAG ) einen detaillierten Überschussbericht zu verfassen, welcher Informationen enthält zur Aufteilung des Bestandes in Teilbestände, zur Systematik der Verteilung des Überschusses auf die Teilbestände und innerhalb der Teilbestände, zur Wahl der Überschussparameter und zur Höhe der Überschusszuteilung an die Teilbestände (SCHUDEL TRÜB, a.a.O., N. 109 zu Art. 36 VAG ; Rundschreiben 2016/6 der FINMA, Lebensversicherung, Rz. 99). BGE 148 III 201 S. 207</w:t>
      </w:r>
    </w:p>
    <w:p>
      <w:r>
        <w:rPr>
          <w:b/>
        </w:rPr>
        <w:t>E. 5.4</w:t>
      </w:r>
    </w:p>
    <w:p>
      <w:r>
        <w:t>Der Gesetzgeber hat dem Versicherungsnehmer, der die Richtigkeit der festgestellten Werte bezweifelt, indessen das Recht eingeräumt, von der FINMA als Aufsichtsbehörde (bzw. bis 31. Dezember 2008 vom Bundesamt für Privatversicherungen) zu verlangen, dass sie unentgeltlich prüft, ob die von der Versicherungsgesellschaft ermittelten Überschusswerte (welche einen Bestandteil des Umwandlungs- bzw. Rückkaufswertes bilden) den versicherungsmathematischen Grundlagen entsprechen und mit dem Überschussplan übereinstimmen (Art. 92 Abs. 2 in Verbindung mit Art. 94 VVG ; vgl. zum Ganzen: PFLEIDERER, Überschussbeteiligung, a.a.O., S. 39; dieselbe , in: Basler Kommentar, Versicherungsvertragsgesetz, 2012, ad N. 1 zu Art. 94 VVG ). Auch dieser Auskunftsanspruch ermöglicht dem Versicherungsnehmer allerdings keine umfassende Information oder eine Rechnungslegung, wie sie für eine Nachprüfung der ihm zustehenden Überschussanteile erforderlich wäre; eine solche setzte die vollständige Auskunft über den Überschussplan (einschliesslich Verteilschlüssel), weitere Angaben betreffend den Vollzug der Überschussbeteiligung (die Bildung von Überschussverbänden etc.) sowie eine vollständige Rechnungslegung voraus (PFLEIDERER, Überschussbeteiligung, a.a.O., S. 96). Dass der Auskunftsanspruch des Versicherungsnehmers in diesem Sinne beschränkt ist, wird dadurch abgemildert, dass die Aufsichtsbehörde im Interessenkonflikt zwischen den legitimen Auskunftsinteressen der Versicherungsnehmer und den berechtigten Geheimhaltungsinteressen der Versicherungsgesellschaft für einen Ausgleich sorgt: Sie hat die Interessen der Versicherungsnehmer zu wahren, ist aber auch neutral gegenüber den ihr von den Versicherungsgesellschaften anvertrauten geheimen Daten (PFLEIDERER, Überschussbeteiligung, a.a.O., S. 100 f.). Es ist denn auch nicht einzusehen, weshalb der Beschwerdeführer auf diese ihm einzig zustehende und allein zielführende Möglichkeit verzichtet hat, gestützt auf Art. 92 Abs. 2 in Verbindung mit Art. 94 VVG an die FINMA zu gelangen (auf welches Recht er im Übrigen bereits in der beschwerdegegnerischen Stellungnahme vom 20. August 2019 hingewiesen worden ist).</w:t>
      </w:r>
    </w:p>
    <w:p>
      <w:r>
        <w:rPr>
          <w:b/>
        </w:rPr>
        <w:t>E. 5.5</w:t>
      </w:r>
    </w:p>
    <w:p>
      <w:r>
        <w:t>Zusammenfassend ergibt sich, dass die Vorinstanz mit der Ablehnung des beschwerdeführerischen Editionsbegehrens betreffend die detaillierten Jahresrechnungen 1996 bis 2019 kein Bundesrecht verletzt hat.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